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72118B86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>Lot n° 1</w:t>
      </w:r>
      <w:r w:rsidR="00F97F7C">
        <w:rPr>
          <w:rFonts w:ascii="Tahoma" w:hAnsi="Tahoma" w:cs="Tahoma"/>
          <w:b/>
          <w:sz w:val="36"/>
          <w:szCs w:val="36"/>
        </w:rPr>
        <w:t>3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F97F7C" w:rsidRPr="00F97F7C">
        <w:rPr>
          <w:rFonts w:ascii="Tahoma" w:hAnsi="Tahoma" w:cs="Tahoma"/>
          <w:b/>
          <w:sz w:val="36"/>
          <w:szCs w:val="36"/>
        </w:rPr>
        <w:t>prestations de formations collectives aux risques liés à l’utilisation d’outils électroportatifs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0BD85BD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31BBC744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1</w:t>
          </w:r>
          <w:r w:rsidR="00F97F7C">
            <w:t>3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97F7C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2025-07-16T14:15:00Z</dcterms:created>
  <dcterms:modified xsi:type="dcterms:W3CDTF">2025-07-17T07:20:00Z</dcterms:modified>
</cp:coreProperties>
</file>